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830" w:rsidRDefault="00131830" w:rsidP="00131830">
      <w:pPr>
        <w:jc w:val="center"/>
        <w:rPr>
          <w:rFonts w:ascii="Arial" w:hAnsi="Arial" w:cs="Arial"/>
          <w:b/>
          <w:bCs/>
          <w:color w:val="000000"/>
          <w:sz w:val="20"/>
          <w:szCs w:val="20"/>
        </w:rPr>
      </w:pPr>
      <w:r w:rsidRPr="00A24F61">
        <w:rPr>
          <w:rFonts w:ascii="Arial" w:hAnsi="Arial" w:cs="Arial"/>
          <w:b/>
          <w:bCs/>
          <w:color w:val="000000"/>
          <w:sz w:val="20"/>
          <w:szCs w:val="20"/>
        </w:rPr>
        <w:t xml:space="preserve">Inclusive Growth </w:t>
      </w:r>
      <w:proofErr w:type="spellStart"/>
      <w:r w:rsidRPr="00A24F61">
        <w:rPr>
          <w:rFonts w:ascii="Arial" w:hAnsi="Arial" w:cs="Arial"/>
          <w:b/>
          <w:bCs/>
          <w:color w:val="000000"/>
          <w:sz w:val="20"/>
          <w:szCs w:val="20"/>
        </w:rPr>
        <w:t>Thro</w:t>
      </w:r>
      <w:proofErr w:type="spellEnd"/>
      <w:r w:rsidRPr="00A24F61">
        <w:rPr>
          <w:rFonts w:ascii="Arial" w:hAnsi="Arial" w:cs="Arial"/>
          <w:b/>
          <w:bCs/>
          <w:color w:val="000000"/>
          <w:sz w:val="20"/>
          <w:szCs w:val="20"/>
        </w:rPr>
        <w:t>’ Business Facilitator/ Business Correspondents</w:t>
      </w:r>
    </w:p>
    <w:p w:rsidR="00131830" w:rsidRDefault="00131830" w:rsidP="00131830">
      <w:pPr>
        <w:jc w:val="center"/>
        <w:rPr>
          <w:rFonts w:ascii="Arial" w:hAnsi="Arial" w:cs="Arial"/>
          <w:b/>
          <w:bCs/>
          <w:color w:val="000000"/>
          <w:sz w:val="20"/>
          <w:szCs w:val="20"/>
        </w:rPr>
      </w:pPr>
    </w:p>
    <w:tbl>
      <w:tblPr>
        <w:tblStyle w:val="TableGrid"/>
        <w:tblW w:w="0" w:type="auto"/>
        <w:tblLook w:val="04A0" w:firstRow="1" w:lastRow="0" w:firstColumn="1" w:lastColumn="0" w:noHBand="0" w:noVBand="1"/>
      </w:tblPr>
      <w:tblGrid>
        <w:gridCol w:w="988"/>
        <w:gridCol w:w="8028"/>
      </w:tblGrid>
      <w:tr w:rsidR="00131830" w:rsidTr="00131830">
        <w:tc>
          <w:tcPr>
            <w:tcW w:w="988" w:type="dxa"/>
          </w:tcPr>
          <w:p w:rsidR="00131830" w:rsidRDefault="00131830" w:rsidP="00131830">
            <w:pPr>
              <w:jc w:val="center"/>
              <w:rPr>
                <w:rFonts w:ascii="Arial" w:hAnsi="Arial" w:cs="Arial"/>
                <w:b/>
                <w:bCs/>
                <w:color w:val="000000"/>
                <w:sz w:val="20"/>
                <w:szCs w:val="20"/>
              </w:rPr>
            </w:pPr>
            <w:proofErr w:type="spellStart"/>
            <w:r>
              <w:rPr>
                <w:rFonts w:ascii="Arial" w:hAnsi="Arial" w:cs="Arial"/>
                <w:b/>
                <w:bCs/>
                <w:color w:val="000000"/>
                <w:sz w:val="20"/>
                <w:szCs w:val="20"/>
              </w:rPr>
              <w:t>S.No</w:t>
            </w:r>
            <w:proofErr w:type="spellEnd"/>
            <w:r>
              <w:rPr>
                <w:rFonts w:ascii="Arial" w:hAnsi="Arial" w:cs="Arial"/>
                <w:b/>
                <w:bCs/>
                <w:color w:val="000000"/>
                <w:sz w:val="20"/>
                <w:szCs w:val="20"/>
              </w:rPr>
              <w:t>.</w:t>
            </w:r>
          </w:p>
        </w:tc>
        <w:tc>
          <w:tcPr>
            <w:tcW w:w="8028" w:type="dxa"/>
          </w:tcPr>
          <w:p w:rsidR="00131830" w:rsidRDefault="00131830" w:rsidP="00131830">
            <w:pPr>
              <w:jc w:val="center"/>
              <w:rPr>
                <w:rFonts w:ascii="Arial" w:hAnsi="Arial" w:cs="Arial"/>
                <w:b/>
                <w:bCs/>
                <w:color w:val="000000"/>
                <w:sz w:val="20"/>
                <w:szCs w:val="20"/>
              </w:rPr>
            </w:pPr>
            <w:r>
              <w:rPr>
                <w:rFonts w:ascii="Arial" w:hAnsi="Arial" w:cs="Arial"/>
                <w:b/>
                <w:bCs/>
                <w:color w:val="000000"/>
                <w:sz w:val="20"/>
                <w:szCs w:val="20"/>
              </w:rPr>
              <w:t>RBI Notification</w:t>
            </w:r>
          </w:p>
        </w:tc>
      </w:tr>
      <w:tr w:rsidR="00131830" w:rsidTr="00131830">
        <w:tc>
          <w:tcPr>
            <w:tcW w:w="988" w:type="dxa"/>
          </w:tcPr>
          <w:p w:rsidR="00131830" w:rsidRPr="00131830" w:rsidRDefault="00131830" w:rsidP="00131830">
            <w:pPr>
              <w:pStyle w:val="ListParagraph"/>
              <w:numPr>
                <w:ilvl w:val="0"/>
                <w:numId w:val="1"/>
              </w:numPr>
              <w:jc w:val="center"/>
              <w:rPr>
                <w:rFonts w:ascii="Arial" w:hAnsi="Arial" w:cs="Arial"/>
                <w:bCs/>
                <w:color w:val="000000"/>
                <w:sz w:val="20"/>
                <w:szCs w:val="20"/>
              </w:rPr>
            </w:pPr>
          </w:p>
        </w:tc>
        <w:tc>
          <w:tcPr>
            <w:tcW w:w="8028" w:type="dxa"/>
          </w:tcPr>
          <w:p w:rsidR="00131830" w:rsidRPr="00131830" w:rsidRDefault="00131830" w:rsidP="00131830">
            <w:pPr>
              <w:jc w:val="both"/>
              <w:rPr>
                <w:rFonts w:ascii="Arial" w:hAnsi="Arial" w:cs="Arial"/>
                <w:bCs/>
                <w:color w:val="000000"/>
                <w:sz w:val="20"/>
                <w:szCs w:val="20"/>
              </w:rPr>
            </w:pPr>
            <w:r w:rsidRPr="00131830">
              <w:rPr>
                <w:rFonts w:ascii="Arial" w:hAnsi="Arial" w:cs="Arial"/>
                <w:bCs/>
                <w:color w:val="000000"/>
                <w:sz w:val="20"/>
                <w:szCs w:val="20"/>
              </w:rPr>
              <w:t>Interoperable Card-less Cash Withdrawal (ICCW) at ATMs</w:t>
            </w:r>
          </w:p>
        </w:tc>
      </w:tr>
      <w:tr w:rsidR="00131830" w:rsidTr="00131830">
        <w:tc>
          <w:tcPr>
            <w:tcW w:w="988" w:type="dxa"/>
          </w:tcPr>
          <w:p w:rsidR="00131830" w:rsidRPr="00131830" w:rsidRDefault="00131830" w:rsidP="00131830">
            <w:pPr>
              <w:pStyle w:val="ListParagraph"/>
              <w:numPr>
                <w:ilvl w:val="0"/>
                <w:numId w:val="1"/>
              </w:numPr>
              <w:jc w:val="center"/>
              <w:rPr>
                <w:rFonts w:ascii="Arial" w:hAnsi="Arial" w:cs="Arial"/>
                <w:bCs/>
                <w:color w:val="000000"/>
                <w:sz w:val="20"/>
                <w:szCs w:val="20"/>
              </w:rPr>
            </w:pPr>
          </w:p>
        </w:tc>
        <w:tc>
          <w:tcPr>
            <w:tcW w:w="8028" w:type="dxa"/>
          </w:tcPr>
          <w:p w:rsidR="00131830" w:rsidRPr="00131830" w:rsidRDefault="00131830" w:rsidP="00131830">
            <w:pPr>
              <w:jc w:val="both"/>
              <w:rPr>
                <w:rFonts w:ascii="Arial" w:hAnsi="Arial" w:cs="Arial"/>
                <w:bCs/>
                <w:color w:val="000000"/>
                <w:sz w:val="20"/>
                <w:szCs w:val="20"/>
              </w:rPr>
            </w:pPr>
            <w:r w:rsidRPr="00131830">
              <w:rPr>
                <w:rFonts w:ascii="Arial" w:hAnsi="Arial" w:cs="Arial"/>
                <w:bCs/>
                <w:color w:val="000000"/>
                <w:sz w:val="20"/>
                <w:szCs w:val="20"/>
              </w:rPr>
              <w:t>Section 24 and Section 56 of the Banking Regulation Act, 1949 – Maintenance of Statutory Liquidity Ratio (SLR)</w:t>
            </w:r>
          </w:p>
        </w:tc>
      </w:tr>
    </w:tbl>
    <w:p w:rsidR="00131830" w:rsidRDefault="00131830" w:rsidP="00131830">
      <w:pPr>
        <w:spacing w:after="0"/>
        <w:jc w:val="both"/>
        <w:rPr>
          <w:rFonts w:ascii="Arial" w:hAnsi="Arial" w:cs="Arial"/>
          <w:b/>
          <w:bCs/>
          <w:color w:val="000000"/>
          <w:sz w:val="20"/>
          <w:szCs w:val="20"/>
        </w:rPr>
      </w:pPr>
    </w:p>
    <w:p w:rsidR="00131830" w:rsidRDefault="00131830" w:rsidP="00131830">
      <w:pPr>
        <w:spacing w:after="0"/>
        <w:jc w:val="both"/>
        <w:rPr>
          <w:rFonts w:ascii="Arial" w:hAnsi="Arial" w:cs="Arial"/>
          <w:b/>
          <w:bCs/>
          <w:color w:val="000000"/>
          <w:sz w:val="20"/>
          <w:szCs w:val="20"/>
        </w:rPr>
      </w:pPr>
    </w:p>
    <w:p w:rsidR="00131830" w:rsidRPr="00470480" w:rsidRDefault="00131830" w:rsidP="00131830">
      <w:pPr>
        <w:spacing w:after="0"/>
        <w:jc w:val="both"/>
        <w:rPr>
          <w:rFonts w:ascii="Arial" w:hAnsi="Arial" w:cs="Arial"/>
          <w:b/>
          <w:bCs/>
          <w:color w:val="000000"/>
          <w:sz w:val="20"/>
          <w:szCs w:val="20"/>
        </w:rPr>
      </w:pPr>
      <w:r w:rsidRPr="00470480">
        <w:rPr>
          <w:rFonts w:ascii="Arial" w:hAnsi="Arial" w:cs="Arial"/>
          <w:b/>
          <w:bCs/>
          <w:color w:val="000000"/>
          <w:sz w:val="20"/>
          <w:szCs w:val="20"/>
        </w:rPr>
        <w:t>Interoperable Card-less Cash Withdrawal (ICCW) a</w:t>
      </w:r>
      <w:bookmarkStart w:id="0" w:name="_GoBack"/>
      <w:bookmarkEnd w:id="0"/>
      <w:r w:rsidRPr="00470480">
        <w:rPr>
          <w:rFonts w:ascii="Arial" w:hAnsi="Arial" w:cs="Arial"/>
          <w:b/>
          <w:bCs/>
          <w:color w:val="000000"/>
          <w:sz w:val="20"/>
          <w:szCs w:val="20"/>
        </w:rPr>
        <w:t>t ATMs</w:t>
      </w:r>
    </w:p>
    <w:p w:rsidR="00131830" w:rsidRPr="00470480" w:rsidRDefault="00131830" w:rsidP="00131830">
      <w:pPr>
        <w:spacing w:after="0"/>
        <w:jc w:val="both"/>
        <w:rPr>
          <w:rFonts w:ascii="Arial" w:hAnsi="Arial" w:cs="Arial"/>
          <w:b/>
          <w:bCs/>
          <w:color w:val="000000"/>
          <w:sz w:val="20"/>
          <w:szCs w:val="20"/>
        </w:rPr>
      </w:pPr>
    </w:p>
    <w:p w:rsidR="00131830" w:rsidRPr="00470480" w:rsidRDefault="00131830" w:rsidP="00131830">
      <w:pPr>
        <w:pStyle w:val="NormalWeb"/>
        <w:jc w:val="both"/>
        <w:rPr>
          <w:rFonts w:ascii="Arial" w:hAnsi="Arial" w:cs="Arial"/>
          <w:color w:val="000000"/>
          <w:sz w:val="20"/>
          <w:szCs w:val="20"/>
        </w:rPr>
      </w:pPr>
      <w:r w:rsidRPr="00470480">
        <w:rPr>
          <w:rFonts w:ascii="Arial" w:hAnsi="Arial" w:cs="Arial"/>
          <w:color w:val="000000"/>
          <w:sz w:val="20"/>
          <w:szCs w:val="20"/>
        </w:rPr>
        <w:t>RBI/2022-23/54</w:t>
      </w:r>
      <w:r w:rsidRPr="00470480">
        <w:rPr>
          <w:rFonts w:ascii="Arial" w:hAnsi="Arial" w:cs="Arial"/>
          <w:color w:val="000000"/>
          <w:sz w:val="20"/>
          <w:szCs w:val="20"/>
        </w:rPr>
        <w:br/>
        <w:t>CO.DPSS.POLC.No.S-227/02-10-002/2022-23</w:t>
      </w:r>
    </w:p>
    <w:p w:rsidR="00131830" w:rsidRPr="00470480" w:rsidRDefault="00131830" w:rsidP="00131830">
      <w:pPr>
        <w:pStyle w:val="NormalWeb"/>
        <w:jc w:val="right"/>
        <w:rPr>
          <w:rFonts w:ascii="Arial" w:hAnsi="Arial" w:cs="Arial"/>
          <w:color w:val="000000"/>
          <w:sz w:val="20"/>
          <w:szCs w:val="20"/>
        </w:rPr>
      </w:pPr>
      <w:r w:rsidRPr="00470480">
        <w:rPr>
          <w:rFonts w:ascii="Arial" w:hAnsi="Arial" w:cs="Arial"/>
          <w:color w:val="000000"/>
          <w:sz w:val="20"/>
          <w:szCs w:val="20"/>
        </w:rPr>
        <w:t>May 19, 2022</w:t>
      </w:r>
    </w:p>
    <w:p w:rsidR="00131830" w:rsidRPr="00470480" w:rsidRDefault="00131830" w:rsidP="00131830">
      <w:pPr>
        <w:pStyle w:val="NormalWeb"/>
        <w:rPr>
          <w:rFonts w:ascii="Arial" w:hAnsi="Arial" w:cs="Arial"/>
          <w:color w:val="000000"/>
          <w:sz w:val="20"/>
          <w:szCs w:val="20"/>
        </w:rPr>
      </w:pPr>
      <w:r w:rsidRPr="00470480">
        <w:rPr>
          <w:rFonts w:ascii="Arial" w:hAnsi="Arial" w:cs="Arial"/>
          <w:color w:val="000000"/>
          <w:sz w:val="20"/>
          <w:szCs w:val="20"/>
        </w:rPr>
        <w:t>The Chairman and Managing Director / Chief Executive Officer</w:t>
      </w:r>
      <w:r w:rsidRPr="00470480">
        <w:rPr>
          <w:rFonts w:ascii="Arial" w:hAnsi="Arial" w:cs="Arial"/>
          <w:color w:val="000000"/>
          <w:sz w:val="20"/>
          <w:szCs w:val="20"/>
        </w:rPr>
        <w:br/>
        <w:t>Scheduled Commercial Banks including RRBs /</w:t>
      </w:r>
      <w:r w:rsidRPr="00470480">
        <w:rPr>
          <w:rFonts w:ascii="Arial" w:hAnsi="Arial" w:cs="Arial"/>
          <w:color w:val="000000"/>
          <w:sz w:val="20"/>
          <w:szCs w:val="20"/>
        </w:rPr>
        <w:br/>
        <w:t>Urban Co-operative Banks / State Co-operative Banks /</w:t>
      </w:r>
      <w:r w:rsidRPr="00470480">
        <w:rPr>
          <w:rFonts w:ascii="Arial" w:hAnsi="Arial" w:cs="Arial"/>
          <w:color w:val="000000"/>
          <w:sz w:val="20"/>
          <w:szCs w:val="20"/>
        </w:rPr>
        <w:br/>
        <w:t>District Central Co-operative Banks / Payment Banks / Small Finance Banks /</w:t>
      </w:r>
      <w:r w:rsidRPr="00470480">
        <w:rPr>
          <w:rFonts w:ascii="Arial" w:hAnsi="Arial" w:cs="Arial"/>
          <w:color w:val="000000"/>
          <w:sz w:val="20"/>
          <w:szCs w:val="20"/>
        </w:rPr>
        <w:br/>
        <w:t>National Payments Corporation of India (NPCI) /</w:t>
      </w:r>
      <w:r w:rsidRPr="00470480">
        <w:rPr>
          <w:rFonts w:ascii="Arial" w:hAnsi="Arial" w:cs="Arial"/>
          <w:color w:val="000000"/>
          <w:sz w:val="20"/>
          <w:szCs w:val="20"/>
        </w:rPr>
        <w:br/>
        <w:t>ATM Networks / White Label ATM Operators (WLAOs)</w:t>
      </w:r>
    </w:p>
    <w:p w:rsidR="00131830" w:rsidRPr="00470480" w:rsidRDefault="00131830" w:rsidP="00131830">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131830" w:rsidRPr="00470480" w:rsidRDefault="00131830" w:rsidP="00131830">
      <w:pPr>
        <w:pStyle w:val="head"/>
        <w:jc w:val="both"/>
        <w:rPr>
          <w:rFonts w:ascii="Arial" w:hAnsi="Arial" w:cs="Arial"/>
          <w:b/>
          <w:bCs/>
          <w:color w:val="000000"/>
          <w:sz w:val="20"/>
          <w:szCs w:val="20"/>
        </w:rPr>
      </w:pPr>
      <w:r w:rsidRPr="00470480">
        <w:rPr>
          <w:rFonts w:ascii="Arial" w:hAnsi="Arial" w:cs="Arial"/>
          <w:b/>
          <w:bCs/>
          <w:color w:val="000000"/>
          <w:sz w:val="20"/>
          <w:szCs w:val="20"/>
        </w:rPr>
        <w:t>Interoperable Card-less Cash Withdrawal (ICCW) at ATMs</w:t>
      </w:r>
    </w:p>
    <w:p w:rsidR="00131830" w:rsidRPr="00470480" w:rsidRDefault="00131830" w:rsidP="00131830">
      <w:pPr>
        <w:pStyle w:val="NormalWeb"/>
        <w:jc w:val="both"/>
        <w:rPr>
          <w:rFonts w:ascii="Arial" w:hAnsi="Arial" w:cs="Arial"/>
          <w:color w:val="000000"/>
          <w:sz w:val="20"/>
          <w:szCs w:val="20"/>
        </w:rPr>
      </w:pPr>
      <w:r w:rsidRPr="00470480">
        <w:rPr>
          <w:rFonts w:ascii="Arial" w:hAnsi="Arial" w:cs="Arial"/>
          <w:color w:val="000000"/>
          <w:sz w:val="20"/>
          <w:szCs w:val="20"/>
        </w:rPr>
        <w:t>Please refer to paragraph 7 of </w:t>
      </w:r>
      <w:hyperlink r:id="rId5" w:tgtFrame="_blank" w:history="1">
        <w:r w:rsidRPr="00470480">
          <w:rPr>
            <w:rStyle w:val="Hyperlink"/>
            <w:rFonts w:ascii="Arial" w:hAnsi="Arial" w:cs="Arial"/>
            <w:sz w:val="20"/>
            <w:szCs w:val="20"/>
          </w:rPr>
          <w:t>Statement on Development and Regulatory Policies dated April 08, 2022</w:t>
        </w:r>
      </w:hyperlink>
      <w:r w:rsidRPr="00470480">
        <w:rPr>
          <w:rFonts w:ascii="Arial" w:hAnsi="Arial" w:cs="Arial"/>
          <w:color w:val="000000"/>
          <w:sz w:val="20"/>
          <w:szCs w:val="20"/>
        </w:rPr>
        <w:t>, wherein the Reserve Bank of India (RBI) had announced introduction of ICCW.</w:t>
      </w:r>
    </w:p>
    <w:p w:rsidR="00131830" w:rsidRPr="00470480" w:rsidRDefault="00131830" w:rsidP="00131830">
      <w:pPr>
        <w:pStyle w:val="NormalWeb"/>
        <w:jc w:val="both"/>
        <w:rPr>
          <w:rFonts w:ascii="Arial" w:hAnsi="Arial" w:cs="Arial"/>
          <w:color w:val="000000"/>
          <w:sz w:val="20"/>
          <w:szCs w:val="20"/>
        </w:rPr>
      </w:pPr>
      <w:r w:rsidRPr="00470480">
        <w:rPr>
          <w:rFonts w:ascii="Arial" w:hAnsi="Arial" w:cs="Arial"/>
          <w:color w:val="000000"/>
          <w:sz w:val="20"/>
          <w:szCs w:val="20"/>
        </w:rPr>
        <w:t>2. All banks, ATM networks and WLAOs may provide the option of ICCW at their ATMs. NPCI has been advised to facilitate Unified Payments Interface (UPI) integration with all banks and ATM networks. While UPI would be used for customer authorisation in such transactions, settlement would be through the National Financial Switch (NFS) / ATM networks. The on-us / off-us ICCW transactions shall be processed without levy of any charges other than those prescribed under the circular on </w:t>
      </w:r>
      <w:hyperlink r:id="rId6" w:tgtFrame="_blank" w:history="1">
        <w:r w:rsidRPr="00470480">
          <w:rPr>
            <w:rStyle w:val="Hyperlink"/>
            <w:rFonts w:ascii="Arial" w:hAnsi="Arial" w:cs="Arial"/>
            <w:sz w:val="20"/>
            <w:szCs w:val="20"/>
          </w:rPr>
          <w:t>Interchange Fee and Customer Charges</w:t>
        </w:r>
      </w:hyperlink>
      <w:r w:rsidRPr="00470480">
        <w:rPr>
          <w:rFonts w:ascii="Arial" w:hAnsi="Arial" w:cs="Arial"/>
          <w:color w:val="000000"/>
          <w:sz w:val="20"/>
          <w:szCs w:val="20"/>
        </w:rPr>
        <w:t>.</w:t>
      </w:r>
    </w:p>
    <w:p w:rsidR="00131830" w:rsidRPr="00470480" w:rsidRDefault="00131830" w:rsidP="00131830">
      <w:pPr>
        <w:pStyle w:val="NormalWeb"/>
        <w:jc w:val="both"/>
        <w:rPr>
          <w:rFonts w:ascii="Arial" w:hAnsi="Arial" w:cs="Arial"/>
          <w:color w:val="000000"/>
          <w:sz w:val="20"/>
          <w:szCs w:val="20"/>
        </w:rPr>
      </w:pPr>
      <w:r w:rsidRPr="00470480">
        <w:rPr>
          <w:rFonts w:ascii="Arial" w:hAnsi="Arial" w:cs="Arial"/>
          <w:color w:val="000000"/>
          <w:sz w:val="20"/>
          <w:szCs w:val="20"/>
        </w:rPr>
        <w:t>3. Withdrawal limits for ICCW transactions shall be in-line with the limits for regular on-us / off-us ATM withdrawals. All other instructions related to </w:t>
      </w:r>
      <w:hyperlink r:id="rId7" w:tgtFrame="_blank" w:history="1">
        <w:r w:rsidRPr="00470480">
          <w:rPr>
            <w:rStyle w:val="Hyperlink"/>
            <w:rFonts w:ascii="Arial" w:hAnsi="Arial" w:cs="Arial"/>
            <w:sz w:val="20"/>
            <w:szCs w:val="20"/>
          </w:rPr>
          <w:t>Harmonisation of Turn Around Time (TAT) and customer compensation for failed transactions</w:t>
        </w:r>
      </w:hyperlink>
      <w:r w:rsidRPr="00470480">
        <w:rPr>
          <w:rFonts w:ascii="Arial" w:hAnsi="Arial" w:cs="Arial"/>
          <w:color w:val="000000"/>
          <w:sz w:val="20"/>
          <w:szCs w:val="20"/>
        </w:rPr>
        <w:t> shall continue to be applicable.</w:t>
      </w:r>
    </w:p>
    <w:p w:rsidR="00131830" w:rsidRPr="00470480" w:rsidRDefault="00131830" w:rsidP="00131830">
      <w:pPr>
        <w:pStyle w:val="NormalWeb"/>
        <w:jc w:val="both"/>
        <w:rPr>
          <w:rFonts w:ascii="Arial" w:hAnsi="Arial" w:cs="Arial"/>
          <w:color w:val="000000"/>
          <w:sz w:val="20"/>
          <w:szCs w:val="20"/>
        </w:rPr>
      </w:pPr>
      <w:r w:rsidRPr="00470480">
        <w:rPr>
          <w:rFonts w:ascii="Arial" w:hAnsi="Arial" w:cs="Arial"/>
          <w:color w:val="000000"/>
          <w:sz w:val="20"/>
          <w:szCs w:val="20"/>
        </w:rPr>
        <w:t>4. This directive is issued under Section 10(2) read with Section 18 of the Payment and Settlement Systems Act, 2007 (Act 51 of 2007).</w:t>
      </w:r>
    </w:p>
    <w:p w:rsidR="00131830" w:rsidRPr="00470480" w:rsidRDefault="00131830" w:rsidP="00131830">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131830" w:rsidRPr="00470480" w:rsidRDefault="00131830" w:rsidP="00131830">
      <w:pPr>
        <w:pStyle w:val="NormalWeb"/>
        <w:rPr>
          <w:rFonts w:ascii="Arial" w:hAnsi="Arial" w:cs="Arial"/>
          <w:color w:val="000000"/>
          <w:sz w:val="20"/>
          <w:szCs w:val="20"/>
        </w:rPr>
      </w:pPr>
      <w:r w:rsidRPr="00470480">
        <w:rPr>
          <w:rFonts w:ascii="Arial" w:hAnsi="Arial" w:cs="Arial"/>
          <w:color w:val="000000"/>
          <w:sz w:val="20"/>
          <w:szCs w:val="20"/>
        </w:rPr>
        <w:t xml:space="preserve">(P. </w:t>
      </w:r>
      <w:proofErr w:type="spellStart"/>
      <w:r w:rsidRPr="00470480">
        <w:rPr>
          <w:rFonts w:ascii="Arial" w:hAnsi="Arial" w:cs="Arial"/>
          <w:color w:val="000000"/>
          <w:sz w:val="20"/>
          <w:szCs w:val="20"/>
        </w:rPr>
        <w:t>Vasudevan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131830" w:rsidRPr="00470480" w:rsidRDefault="00131830" w:rsidP="00131830">
      <w:pPr>
        <w:pStyle w:val="NormalWeb"/>
        <w:rPr>
          <w:rFonts w:ascii="Arial" w:hAnsi="Arial" w:cs="Arial"/>
          <w:color w:val="000000"/>
          <w:sz w:val="20"/>
          <w:szCs w:val="20"/>
        </w:rPr>
      </w:pPr>
    </w:p>
    <w:p w:rsidR="00131830" w:rsidRPr="00470480" w:rsidRDefault="00131830" w:rsidP="00131830">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8" w:history="1">
        <w:r w:rsidRPr="00470480">
          <w:rPr>
            <w:rStyle w:val="Hyperlink"/>
            <w:rFonts w:ascii="Arial" w:hAnsi="Arial" w:cs="Arial"/>
            <w:sz w:val="20"/>
            <w:szCs w:val="20"/>
          </w:rPr>
          <w:t>https://www.rbi.org.in/Scripts/NotificationUser.aspx?Id=12321&amp;Mode=0</w:t>
        </w:r>
      </w:hyperlink>
    </w:p>
    <w:p w:rsidR="00131830" w:rsidRPr="00470480" w:rsidRDefault="00131830" w:rsidP="00131830">
      <w:pPr>
        <w:pStyle w:val="NormalWeb"/>
        <w:rPr>
          <w:rFonts w:ascii="Arial" w:hAnsi="Arial" w:cs="Arial"/>
          <w:color w:val="000000"/>
          <w:sz w:val="20"/>
          <w:szCs w:val="20"/>
        </w:rPr>
      </w:pPr>
    </w:p>
    <w:p w:rsidR="00131830" w:rsidRPr="00470480" w:rsidRDefault="00131830" w:rsidP="00131830">
      <w:pPr>
        <w:pStyle w:val="NormalWeb"/>
        <w:rPr>
          <w:rFonts w:ascii="Arial" w:hAnsi="Arial" w:cs="Arial"/>
          <w:color w:val="000000"/>
          <w:sz w:val="20"/>
          <w:szCs w:val="20"/>
        </w:rPr>
      </w:pPr>
    </w:p>
    <w:p w:rsidR="00131830" w:rsidRPr="00470480" w:rsidRDefault="00131830" w:rsidP="00131830">
      <w:pPr>
        <w:pStyle w:val="NormalWeb"/>
        <w:rPr>
          <w:rFonts w:ascii="Arial" w:hAnsi="Arial" w:cs="Arial"/>
          <w:color w:val="000000"/>
          <w:sz w:val="20"/>
          <w:szCs w:val="20"/>
        </w:rPr>
      </w:pPr>
    </w:p>
    <w:p w:rsidR="00131830" w:rsidRDefault="00131830" w:rsidP="00131830">
      <w:pPr>
        <w:jc w:val="both"/>
        <w:rPr>
          <w:rFonts w:ascii="Arial" w:hAnsi="Arial" w:cs="Arial"/>
          <w:b/>
          <w:bCs/>
          <w:color w:val="000000"/>
          <w:sz w:val="20"/>
          <w:szCs w:val="20"/>
        </w:rPr>
      </w:pPr>
    </w:p>
    <w:p w:rsidR="00131830" w:rsidRDefault="00131830" w:rsidP="00131830">
      <w:pPr>
        <w:spacing w:after="0"/>
        <w:jc w:val="both"/>
        <w:rPr>
          <w:rFonts w:ascii="Arial" w:hAnsi="Arial" w:cs="Arial"/>
          <w:b/>
          <w:bCs/>
          <w:color w:val="000000"/>
          <w:sz w:val="20"/>
          <w:szCs w:val="20"/>
        </w:rPr>
      </w:pPr>
      <w:r>
        <w:rPr>
          <w:rFonts w:ascii="Arial" w:hAnsi="Arial" w:cs="Arial"/>
          <w:b/>
          <w:bCs/>
          <w:color w:val="000000"/>
          <w:sz w:val="20"/>
          <w:szCs w:val="20"/>
        </w:rPr>
        <w:t>Section 24 and Section 56 of the Banking Regulation Act, 1949 – Maintenance of Statutory Liquidity Ratio (SLR)</w:t>
      </w:r>
      <w:r w:rsidRPr="00470480">
        <w:rPr>
          <w:rFonts w:ascii="Arial" w:hAnsi="Arial" w:cs="Arial"/>
          <w:b/>
          <w:bCs/>
          <w:color w:val="000000"/>
          <w:sz w:val="20"/>
          <w:szCs w:val="20"/>
        </w:rPr>
        <w:t xml:space="preserve"> </w:t>
      </w:r>
    </w:p>
    <w:p w:rsidR="00131830" w:rsidRDefault="00131830" w:rsidP="00131830">
      <w:pPr>
        <w:spacing w:after="0"/>
        <w:jc w:val="both"/>
        <w:rPr>
          <w:rFonts w:ascii="Arial" w:hAnsi="Arial" w:cs="Arial"/>
          <w:b/>
          <w:bCs/>
          <w:color w:val="000000"/>
          <w:sz w:val="20"/>
          <w:szCs w:val="20"/>
        </w:rPr>
      </w:pPr>
    </w:p>
    <w:p w:rsidR="00131830" w:rsidRDefault="00131830" w:rsidP="00131830">
      <w:pPr>
        <w:spacing w:after="0"/>
        <w:jc w:val="both"/>
        <w:rPr>
          <w:rFonts w:ascii="Arial" w:hAnsi="Arial" w:cs="Arial"/>
          <w:b/>
          <w:bCs/>
          <w:color w:val="000000"/>
          <w:sz w:val="20"/>
          <w:szCs w:val="20"/>
        </w:rPr>
      </w:pPr>
    </w:p>
    <w:p w:rsidR="00131830" w:rsidRDefault="00131830" w:rsidP="00131830">
      <w:pPr>
        <w:pStyle w:val="NormalWeb"/>
        <w:jc w:val="both"/>
        <w:rPr>
          <w:rFonts w:ascii="Arial" w:hAnsi="Arial" w:cs="Arial"/>
          <w:color w:val="000000"/>
          <w:sz w:val="20"/>
          <w:szCs w:val="20"/>
        </w:rPr>
      </w:pPr>
      <w:r>
        <w:rPr>
          <w:rFonts w:ascii="Arial" w:hAnsi="Arial" w:cs="Arial"/>
          <w:color w:val="000000"/>
          <w:sz w:val="20"/>
          <w:szCs w:val="20"/>
        </w:rPr>
        <w:t>RBI/2022-23/23</w:t>
      </w:r>
      <w:r>
        <w:rPr>
          <w:rFonts w:ascii="Arial" w:hAnsi="Arial" w:cs="Arial"/>
          <w:color w:val="000000"/>
          <w:sz w:val="20"/>
          <w:szCs w:val="20"/>
        </w:rPr>
        <w:br/>
        <w:t>DOR.RET.REC.15/12.01.001/2022-23</w:t>
      </w:r>
    </w:p>
    <w:p w:rsidR="00131830" w:rsidRDefault="00131830" w:rsidP="00131830">
      <w:pPr>
        <w:pStyle w:val="NormalWeb"/>
        <w:jc w:val="right"/>
        <w:rPr>
          <w:rFonts w:ascii="Arial" w:hAnsi="Arial" w:cs="Arial"/>
          <w:color w:val="000000"/>
          <w:sz w:val="20"/>
          <w:szCs w:val="20"/>
        </w:rPr>
      </w:pPr>
      <w:r>
        <w:rPr>
          <w:rFonts w:ascii="Arial" w:hAnsi="Arial" w:cs="Arial"/>
          <w:color w:val="000000"/>
          <w:sz w:val="20"/>
          <w:szCs w:val="20"/>
        </w:rPr>
        <w:t>April 08, 2022</w:t>
      </w:r>
    </w:p>
    <w:p w:rsidR="00131830" w:rsidRDefault="00131830" w:rsidP="00131830">
      <w:pPr>
        <w:pStyle w:val="NormalWeb"/>
        <w:rPr>
          <w:rFonts w:ascii="Arial" w:hAnsi="Arial" w:cs="Arial"/>
          <w:color w:val="000000"/>
          <w:sz w:val="20"/>
          <w:szCs w:val="20"/>
        </w:rPr>
      </w:pPr>
      <w:r>
        <w:rPr>
          <w:rFonts w:ascii="Arial" w:hAnsi="Arial" w:cs="Arial"/>
          <w:color w:val="000000"/>
          <w:sz w:val="20"/>
          <w:szCs w:val="20"/>
        </w:rPr>
        <w:t>All Scheduled Commercial Banks (including Regional Rural Banks)</w:t>
      </w:r>
      <w:r>
        <w:rPr>
          <w:rFonts w:ascii="Arial" w:hAnsi="Arial" w:cs="Arial"/>
          <w:color w:val="000000"/>
          <w:sz w:val="20"/>
          <w:szCs w:val="20"/>
        </w:rPr>
        <w:br/>
        <w:t>Local Area Banks, Small Finance Banks, Payments Banks</w:t>
      </w:r>
      <w:r>
        <w:rPr>
          <w:rFonts w:ascii="Arial" w:hAnsi="Arial" w:cs="Arial"/>
          <w:color w:val="000000"/>
          <w:sz w:val="20"/>
          <w:szCs w:val="20"/>
        </w:rPr>
        <w:br/>
        <w:t>Primary (Urban) Co-operative Banks (UCBs)</w:t>
      </w:r>
      <w:r>
        <w:rPr>
          <w:rFonts w:ascii="Arial" w:hAnsi="Arial" w:cs="Arial"/>
          <w:color w:val="000000"/>
          <w:sz w:val="20"/>
          <w:szCs w:val="20"/>
        </w:rPr>
        <w:br/>
        <w:t>State and Central Co-operative Banks (</w:t>
      </w:r>
      <w:proofErr w:type="spellStart"/>
      <w:r>
        <w:rPr>
          <w:rFonts w:ascii="Arial" w:hAnsi="Arial" w:cs="Arial"/>
          <w:color w:val="000000"/>
          <w:sz w:val="20"/>
          <w:szCs w:val="20"/>
        </w:rPr>
        <w:t>StCBs</w:t>
      </w:r>
      <w:proofErr w:type="spellEnd"/>
      <w:r>
        <w:rPr>
          <w:rFonts w:ascii="Arial" w:hAnsi="Arial" w:cs="Arial"/>
          <w:color w:val="000000"/>
          <w:sz w:val="20"/>
          <w:szCs w:val="20"/>
        </w:rPr>
        <w:t xml:space="preserve"> / CCBs)</w:t>
      </w:r>
    </w:p>
    <w:p w:rsidR="00131830" w:rsidRDefault="00131830" w:rsidP="00131830">
      <w:pPr>
        <w:pStyle w:val="NormalWeb"/>
        <w:jc w:val="both"/>
        <w:rPr>
          <w:rFonts w:ascii="Arial" w:hAnsi="Arial" w:cs="Arial"/>
          <w:color w:val="000000"/>
          <w:sz w:val="20"/>
          <w:szCs w:val="20"/>
        </w:rPr>
      </w:pPr>
      <w:r>
        <w:rPr>
          <w:rFonts w:ascii="Arial" w:hAnsi="Arial" w:cs="Arial"/>
          <w:color w:val="000000"/>
          <w:sz w:val="20"/>
          <w:szCs w:val="20"/>
        </w:rPr>
        <w:t>Madam/Sir,</w:t>
      </w:r>
    </w:p>
    <w:p w:rsidR="00131830" w:rsidRDefault="00131830" w:rsidP="00131830">
      <w:pPr>
        <w:pStyle w:val="head"/>
        <w:jc w:val="center"/>
        <w:rPr>
          <w:rFonts w:ascii="Arial" w:hAnsi="Arial" w:cs="Arial"/>
          <w:b/>
          <w:bCs/>
          <w:color w:val="000000"/>
          <w:sz w:val="20"/>
          <w:szCs w:val="20"/>
        </w:rPr>
      </w:pPr>
      <w:r>
        <w:rPr>
          <w:rFonts w:ascii="Arial" w:hAnsi="Arial" w:cs="Arial"/>
          <w:b/>
          <w:bCs/>
          <w:color w:val="000000"/>
          <w:sz w:val="20"/>
          <w:szCs w:val="20"/>
        </w:rPr>
        <w:t>Section 24 and Section 56 of the Banking Regulation Act, 1949 –</w:t>
      </w:r>
      <w:r>
        <w:rPr>
          <w:rFonts w:ascii="Arial" w:hAnsi="Arial" w:cs="Arial"/>
          <w:b/>
          <w:bCs/>
          <w:color w:val="000000"/>
          <w:sz w:val="20"/>
          <w:szCs w:val="20"/>
        </w:rPr>
        <w:br/>
        <w:t>Maintenance of Statutory Liquidity Ratio (SLR)</w:t>
      </w:r>
    </w:p>
    <w:p w:rsidR="00131830" w:rsidRDefault="00131830" w:rsidP="00131830">
      <w:pPr>
        <w:pStyle w:val="NormalWeb"/>
        <w:jc w:val="both"/>
        <w:rPr>
          <w:rFonts w:ascii="Arial" w:hAnsi="Arial" w:cs="Arial"/>
          <w:color w:val="000000"/>
          <w:sz w:val="20"/>
          <w:szCs w:val="20"/>
        </w:rPr>
      </w:pPr>
      <w:r>
        <w:rPr>
          <w:rFonts w:ascii="Arial" w:hAnsi="Arial" w:cs="Arial"/>
          <w:color w:val="000000"/>
          <w:sz w:val="20"/>
          <w:szCs w:val="20"/>
        </w:rPr>
        <w:t>Please refer to </w:t>
      </w:r>
      <w:hyperlink r:id="rId9" w:tgtFrame="_blank" w:history="1">
        <w:r>
          <w:rPr>
            <w:rStyle w:val="Hyperlink"/>
            <w:rFonts w:ascii="Arial" w:hAnsi="Arial" w:cs="Arial"/>
            <w:sz w:val="20"/>
            <w:szCs w:val="20"/>
          </w:rPr>
          <w:t>circular DBR.No.Ret.BC.10/12.02.001/2018-19 dated December 05, 2018</w:t>
        </w:r>
      </w:hyperlink>
      <w:r>
        <w:rPr>
          <w:rFonts w:ascii="Arial" w:hAnsi="Arial" w:cs="Arial"/>
          <w:color w:val="000000"/>
          <w:sz w:val="20"/>
          <w:szCs w:val="20"/>
        </w:rPr>
        <w:t> and relative notification on the captioned subject.</w:t>
      </w:r>
    </w:p>
    <w:p w:rsidR="00131830" w:rsidRDefault="00131830" w:rsidP="00131830">
      <w:pPr>
        <w:pStyle w:val="NormalWeb"/>
        <w:jc w:val="both"/>
        <w:rPr>
          <w:rFonts w:ascii="Arial" w:hAnsi="Arial" w:cs="Arial"/>
          <w:color w:val="000000"/>
          <w:sz w:val="20"/>
          <w:szCs w:val="20"/>
        </w:rPr>
      </w:pPr>
      <w:r>
        <w:rPr>
          <w:rFonts w:ascii="Arial" w:hAnsi="Arial" w:cs="Arial"/>
          <w:color w:val="000000"/>
          <w:sz w:val="20"/>
          <w:szCs w:val="20"/>
        </w:rPr>
        <w:t>2. As announced in the</w:t>
      </w:r>
      <w:hyperlink r:id="rId10" w:tgtFrame="_blank" w:history="1">
        <w:r>
          <w:rPr>
            <w:rStyle w:val="Hyperlink"/>
            <w:rFonts w:ascii="Arial" w:hAnsi="Arial" w:cs="Arial"/>
            <w:sz w:val="20"/>
            <w:szCs w:val="20"/>
          </w:rPr>
          <w:t> Statement on Developmental and Regulatory Policies on April 08, 2022</w:t>
        </w:r>
      </w:hyperlink>
      <w:r>
        <w:rPr>
          <w:rFonts w:ascii="Arial" w:hAnsi="Arial" w:cs="Arial"/>
          <w:color w:val="000000"/>
          <w:sz w:val="20"/>
          <w:szCs w:val="20"/>
        </w:rPr>
        <w:t>, it has been decided to institute the Standing Deposit Facility (SDF) with immediate effect. Accordingly, it is decided that the balances held by banks with the RBI under the SDF shall be an eligible Statutory Liquidity Ratio (SLR) asset and such balances shall form part of “Cash” for SLR maintenance. Banks shall report the SDF balances under "Cash in hand" in Form VIII or Form I, as applicable.</w:t>
      </w:r>
    </w:p>
    <w:p w:rsidR="00131830" w:rsidRDefault="00131830" w:rsidP="00131830">
      <w:pPr>
        <w:pStyle w:val="NormalWeb"/>
        <w:jc w:val="both"/>
        <w:rPr>
          <w:rFonts w:ascii="Arial" w:hAnsi="Arial" w:cs="Arial"/>
          <w:color w:val="000000"/>
          <w:sz w:val="20"/>
          <w:szCs w:val="20"/>
        </w:rPr>
      </w:pPr>
      <w:r>
        <w:rPr>
          <w:rFonts w:ascii="Arial" w:hAnsi="Arial" w:cs="Arial"/>
          <w:color w:val="000000"/>
          <w:sz w:val="20"/>
          <w:szCs w:val="20"/>
        </w:rPr>
        <w:t>3. The balances held by banks with RBI under the SDF shall not be eligible for Cash Reserve Ratio (CRR) maintenance.</w:t>
      </w:r>
    </w:p>
    <w:p w:rsidR="00131830" w:rsidRDefault="00131830" w:rsidP="00131830">
      <w:pPr>
        <w:pStyle w:val="NormalWeb"/>
        <w:jc w:val="both"/>
        <w:rPr>
          <w:rFonts w:ascii="Arial" w:hAnsi="Arial" w:cs="Arial"/>
          <w:color w:val="000000"/>
          <w:sz w:val="20"/>
          <w:szCs w:val="20"/>
        </w:rPr>
      </w:pPr>
      <w:r>
        <w:rPr>
          <w:rFonts w:ascii="Arial" w:hAnsi="Arial" w:cs="Arial"/>
          <w:color w:val="000000"/>
          <w:sz w:val="20"/>
          <w:szCs w:val="20"/>
        </w:rPr>
        <w:t>4. A copy of the relative notification DOR.RET.REC.16/12.01.001/2022-23 dated April 08, 2022, is </w:t>
      </w:r>
      <w:hyperlink r:id="rId11" w:anchor="AN1" w:history="1">
        <w:r>
          <w:rPr>
            <w:rStyle w:val="Hyperlink"/>
            <w:rFonts w:ascii="Arial" w:hAnsi="Arial" w:cs="Arial"/>
            <w:sz w:val="20"/>
            <w:szCs w:val="20"/>
          </w:rPr>
          <w:t>enclosed</w:t>
        </w:r>
      </w:hyperlink>
      <w:r>
        <w:rPr>
          <w:rFonts w:ascii="Arial" w:hAnsi="Arial" w:cs="Arial"/>
          <w:color w:val="000000"/>
          <w:sz w:val="20"/>
          <w:szCs w:val="20"/>
        </w:rPr>
        <w:t>.</w:t>
      </w:r>
    </w:p>
    <w:p w:rsidR="00131830" w:rsidRDefault="00131830" w:rsidP="00131830">
      <w:pPr>
        <w:pStyle w:val="NormalWeb"/>
        <w:jc w:val="both"/>
        <w:rPr>
          <w:rFonts w:ascii="Arial" w:hAnsi="Arial" w:cs="Arial"/>
          <w:color w:val="000000"/>
          <w:sz w:val="20"/>
          <w:szCs w:val="20"/>
        </w:rPr>
      </w:pPr>
      <w:r>
        <w:rPr>
          <w:rFonts w:ascii="Arial" w:hAnsi="Arial" w:cs="Arial"/>
          <w:color w:val="000000"/>
          <w:sz w:val="20"/>
          <w:szCs w:val="20"/>
        </w:rPr>
        <w:t>Yours faithfully,</w:t>
      </w:r>
    </w:p>
    <w:p w:rsidR="00131830" w:rsidRDefault="00131830" w:rsidP="00131830">
      <w:pPr>
        <w:pStyle w:val="NormalWeb"/>
        <w:rPr>
          <w:rFonts w:ascii="Arial" w:hAnsi="Arial" w:cs="Arial"/>
          <w:color w:val="000000"/>
          <w:sz w:val="20"/>
          <w:szCs w:val="20"/>
        </w:rPr>
      </w:pPr>
      <w:r>
        <w:rPr>
          <w:rFonts w:ascii="Arial" w:hAnsi="Arial" w:cs="Arial"/>
          <w:color w:val="000000"/>
          <w:sz w:val="20"/>
          <w:szCs w:val="20"/>
        </w:rPr>
        <w:t xml:space="preserve">(Prakash </w:t>
      </w:r>
      <w:proofErr w:type="spellStart"/>
      <w:r>
        <w:rPr>
          <w:rFonts w:ascii="Arial" w:hAnsi="Arial" w:cs="Arial"/>
          <w:color w:val="000000"/>
          <w:sz w:val="20"/>
          <w:szCs w:val="20"/>
        </w:rPr>
        <w:t>Baliarsingh</w:t>
      </w:r>
      <w:proofErr w:type="spellEnd"/>
      <w:r>
        <w:rPr>
          <w:rFonts w:ascii="Arial" w:hAnsi="Arial" w:cs="Arial"/>
          <w:color w:val="000000"/>
          <w:sz w:val="20"/>
          <w:szCs w:val="20"/>
        </w:rPr>
        <w:t>)</w:t>
      </w:r>
      <w:r>
        <w:rPr>
          <w:rFonts w:ascii="Arial" w:hAnsi="Arial" w:cs="Arial"/>
          <w:color w:val="000000"/>
          <w:sz w:val="20"/>
          <w:szCs w:val="20"/>
        </w:rPr>
        <w:br/>
        <w:t>Chief General Manager</w:t>
      </w:r>
    </w:p>
    <w:p w:rsidR="00131830" w:rsidRDefault="00131830" w:rsidP="00131830">
      <w:pPr>
        <w:pStyle w:val="NormalWeb"/>
        <w:jc w:val="both"/>
        <w:rPr>
          <w:rFonts w:ascii="Arial" w:hAnsi="Arial" w:cs="Arial"/>
          <w:color w:val="000000"/>
          <w:sz w:val="20"/>
          <w:szCs w:val="20"/>
        </w:rPr>
      </w:pPr>
    </w:p>
    <w:p w:rsidR="00131830" w:rsidRDefault="00131830" w:rsidP="00131830">
      <w:pPr>
        <w:pStyle w:val="NormalWeb"/>
        <w:jc w:val="both"/>
        <w:rPr>
          <w:rFonts w:ascii="Arial" w:hAnsi="Arial" w:cs="Arial"/>
          <w:color w:val="000000"/>
          <w:sz w:val="20"/>
          <w:szCs w:val="20"/>
        </w:rPr>
      </w:pPr>
      <w:r>
        <w:rPr>
          <w:rFonts w:ascii="Arial" w:hAnsi="Arial" w:cs="Arial"/>
          <w:color w:val="000000"/>
          <w:sz w:val="20"/>
          <w:szCs w:val="20"/>
        </w:rPr>
        <w:t>For detailed notification, refer to the link below.</w:t>
      </w:r>
    </w:p>
    <w:p w:rsidR="00131830" w:rsidRDefault="00131830" w:rsidP="00131830">
      <w:pPr>
        <w:spacing w:after="0"/>
        <w:jc w:val="both"/>
        <w:rPr>
          <w:rFonts w:ascii="Arial" w:hAnsi="Arial" w:cs="Arial"/>
          <w:bCs/>
          <w:color w:val="000000"/>
          <w:sz w:val="20"/>
          <w:szCs w:val="20"/>
        </w:rPr>
      </w:pPr>
      <w:r w:rsidRPr="00311876">
        <w:rPr>
          <w:rFonts w:ascii="Arial" w:hAnsi="Arial" w:cs="Arial"/>
          <w:bCs/>
          <w:color w:val="000000"/>
          <w:sz w:val="20"/>
          <w:szCs w:val="20"/>
        </w:rPr>
        <w:t xml:space="preserve">Reference Link: </w:t>
      </w:r>
      <w:hyperlink r:id="rId12" w:history="1">
        <w:r w:rsidRPr="00321241">
          <w:rPr>
            <w:rStyle w:val="Hyperlink"/>
            <w:rFonts w:ascii="Arial" w:hAnsi="Arial" w:cs="Arial"/>
            <w:bCs/>
            <w:sz w:val="20"/>
            <w:szCs w:val="20"/>
          </w:rPr>
          <w:t>https://www.rbi.org.in/Scripts/NotificationUser.aspx?Id=12289&amp;Mode=0</w:t>
        </w:r>
      </w:hyperlink>
    </w:p>
    <w:p w:rsidR="00131830" w:rsidRPr="00311876" w:rsidRDefault="00131830" w:rsidP="00131830">
      <w:pPr>
        <w:spacing w:after="0"/>
        <w:jc w:val="both"/>
        <w:rPr>
          <w:rFonts w:ascii="Arial" w:hAnsi="Arial" w:cs="Arial"/>
          <w:bCs/>
          <w:color w:val="000000"/>
          <w:sz w:val="20"/>
          <w:szCs w:val="20"/>
        </w:rPr>
      </w:pPr>
    </w:p>
    <w:p w:rsidR="00131830" w:rsidRDefault="00131830" w:rsidP="00131830">
      <w:pPr>
        <w:spacing w:after="0"/>
        <w:jc w:val="both"/>
        <w:rPr>
          <w:rFonts w:ascii="Arial" w:hAnsi="Arial" w:cs="Arial"/>
          <w:b/>
          <w:bCs/>
          <w:color w:val="000000"/>
          <w:sz w:val="20"/>
          <w:szCs w:val="20"/>
        </w:rPr>
      </w:pPr>
    </w:p>
    <w:p w:rsidR="00131830" w:rsidRDefault="00131830" w:rsidP="00131830">
      <w:pPr>
        <w:spacing w:after="0"/>
        <w:jc w:val="both"/>
        <w:rPr>
          <w:rFonts w:ascii="Arial" w:hAnsi="Arial" w:cs="Arial"/>
          <w:b/>
          <w:bCs/>
          <w:color w:val="000000"/>
          <w:sz w:val="20"/>
          <w:szCs w:val="20"/>
        </w:rPr>
      </w:pPr>
    </w:p>
    <w:p w:rsidR="00131830" w:rsidRDefault="00131830" w:rsidP="00131830">
      <w:pPr>
        <w:spacing w:after="0"/>
        <w:jc w:val="both"/>
        <w:rPr>
          <w:rFonts w:ascii="Arial" w:hAnsi="Arial" w:cs="Arial"/>
          <w:b/>
          <w:bCs/>
          <w:color w:val="000000"/>
          <w:sz w:val="20"/>
          <w:szCs w:val="20"/>
        </w:rPr>
      </w:pPr>
    </w:p>
    <w:p w:rsidR="00131830" w:rsidRDefault="00131830" w:rsidP="00131830">
      <w:pPr>
        <w:spacing w:after="0"/>
        <w:jc w:val="both"/>
        <w:rPr>
          <w:rFonts w:ascii="Arial" w:hAnsi="Arial" w:cs="Arial"/>
          <w:b/>
          <w:bCs/>
          <w:color w:val="000000"/>
          <w:sz w:val="20"/>
          <w:szCs w:val="20"/>
        </w:rPr>
      </w:pPr>
    </w:p>
    <w:p w:rsidR="004654F0" w:rsidRDefault="004654F0"/>
    <w:sectPr w:rsidR="004654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232E9"/>
    <w:multiLevelType w:val="hybridMultilevel"/>
    <w:tmpl w:val="A96076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830"/>
    <w:rsid w:val="00131830"/>
    <w:rsid w:val="004654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091DB"/>
  <w15:chartTrackingRefBased/>
  <w15:docId w15:val="{87E6C370-0BDF-44D1-A447-694043D9F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8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183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13183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131830"/>
    <w:rPr>
      <w:color w:val="0000FF"/>
      <w:u w:val="single"/>
    </w:rPr>
  </w:style>
  <w:style w:type="table" w:styleId="TableGrid">
    <w:name w:val="Table Grid"/>
    <w:basedOn w:val="TableNormal"/>
    <w:uiPriority w:val="39"/>
    <w:rsid w:val="00131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1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2321&amp;Mode=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bi.org.in/Scripts/NotificationUser.aspx?Id=11693" TargetMode="External"/><Relationship Id="rId12" Type="http://schemas.openxmlformats.org/officeDocument/2006/relationships/hyperlink" Target="https://www.rbi.org.in/Scripts/NotificationUser.aspx?Id=12289&amp;Mode=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bi.org.in/scripts/NotificationUser.aspx?Id=12111" TargetMode="External"/><Relationship Id="rId11" Type="http://schemas.openxmlformats.org/officeDocument/2006/relationships/hyperlink" Target="https://www.rbi.org.in/Scripts/NotificationUser.aspx?Id=12289&amp;Mode=0" TargetMode="External"/><Relationship Id="rId5" Type="http://schemas.openxmlformats.org/officeDocument/2006/relationships/hyperlink" Target="https://www.rbi.org.in/Scripts/BS_PressReleaseDisplay.aspx?prid=53536" TargetMode="External"/><Relationship Id="rId10" Type="http://schemas.openxmlformats.org/officeDocument/2006/relationships/hyperlink" Target="https://www.rbi.org.in/Scripts/BS_PressReleaseDisplay.aspx?prid=53536" TargetMode="External"/><Relationship Id="rId4" Type="http://schemas.openxmlformats.org/officeDocument/2006/relationships/webSettings" Target="webSettings.xml"/><Relationship Id="rId9" Type="http://schemas.openxmlformats.org/officeDocument/2006/relationships/hyperlink" Target="https://www.rbi.org.in/Scripts/NotificationUser.aspx?Id=11427&amp;Mode=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650</Words>
  <Characters>3707</Characters>
  <Application>Microsoft Office Word</Application>
  <DocSecurity>0</DocSecurity>
  <Lines>30</Lines>
  <Paragraphs>8</Paragraphs>
  <ScaleCrop>false</ScaleCrop>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1</cp:revision>
  <dcterms:created xsi:type="dcterms:W3CDTF">2022-08-04T10:48:00Z</dcterms:created>
  <dcterms:modified xsi:type="dcterms:W3CDTF">2022-08-04T10:53:00Z</dcterms:modified>
</cp:coreProperties>
</file>